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64" w:rsidRPr="00787E64" w:rsidRDefault="00787E64" w:rsidP="00787E64">
      <w:pPr>
        <w:rPr>
          <w:rFonts w:ascii="Arial" w:hAnsi="Arial" w:cs="Arial"/>
          <w:b/>
          <w:color w:val="A00054"/>
          <w:sz w:val="40"/>
        </w:rPr>
      </w:pPr>
      <w:r w:rsidRPr="00787E64">
        <w:rPr>
          <w:rFonts w:ascii="Arial" w:hAnsi="Arial" w:cs="Arial"/>
          <w:b/>
          <w:color w:val="A00054"/>
          <w:sz w:val="40"/>
        </w:rPr>
        <w:t>Protocol for Public Health Innovative Training Post swaps</w:t>
      </w:r>
    </w:p>
    <w:p w:rsidR="00787E64" w:rsidRDefault="00787E64" w:rsidP="00787E64">
      <w:pPr>
        <w:rPr>
          <w:rFonts w:ascii="Arial" w:hAnsi="Arial" w:cs="Arial"/>
          <w:b/>
        </w:rPr>
      </w:pPr>
    </w:p>
    <w:p w:rsidR="00787E64" w:rsidRPr="00787E64" w:rsidRDefault="00787E64" w:rsidP="00787E64">
      <w:pPr>
        <w:rPr>
          <w:rFonts w:ascii="Arial" w:hAnsi="Arial" w:cs="Arial"/>
          <w:b/>
          <w:color w:val="0091C9"/>
          <w:sz w:val="28"/>
        </w:rPr>
      </w:pPr>
      <w:r>
        <w:rPr>
          <w:rFonts w:ascii="Arial" w:hAnsi="Arial" w:cs="Arial"/>
          <w:b/>
          <w:color w:val="0091C9"/>
          <w:sz w:val="28"/>
        </w:rPr>
        <w:t>Introduction</w:t>
      </w:r>
    </w:p>
    <w:p w:rsidR="00787E64" w:rsidRDefault="00787E64" w:rsidP="00787E64">
      <w:pPr>
        <w:rPr>
          <w:rFonts w:ascii="Arial" w:hAnsi="Arial" w:cs="Arial"/>
        </w:rPr>
      </w:pPr>
    </w:p>
    <w:p w:rsidR="00787E64" w:rsidRPr="00787E64" w:rsidRDefault="00787E64" w:rsidP="00787E64">
      <w:pPr>
        <w:rPr>
          <w:rFonts w:ascii="Arial" w:hAnsi="Arial" w:cs="Arial"/>
        </w:rPr>
      </w:pPr>
      <w:r w:rsidRPr="00787E64">
        <w:rPr>
          <w:rFonts w:ascii="Arial" w:hAnsi="Arial" w:cs="Arial"/>
        </w:rPr>
        <w:t xml:space="preserve">Public health and primary care medicine are closely intertwined. Many of the health priorities at national and regional levels are derived from research and information received from public health. This training post - job swapping would provide each learner with a unique opportunity to respectively appreciate the opportunities and difficulties in evaluation and implementation of health policies from their national conception to individual patients. The swap will involve each learner spending part of their working week in the other specialty over a 4 month (pro-rata) period. </w:t>
      </w:r>
    </w:p>
    <w:p w:rsidR="00787E64" w:rsidRDefault="00787E64" w:rsidP="00787E64">
      <w:pPr>
        <w:rPr>
          <w:rFonts w:ascii="Arial" w:hAnsi="Arial" w:cs="Arial"/>
        </w:rPr>
      </w:pPr>
    </w:p>
    <w:p w:rsidR="00787E64" w:rsidRPr="00787E64" w:rsidRDefault="00787E64" w:rsidP="00787E64">
      <w:pPr>
        <w:rPr>
          <w:rFonts w:ascii="Arial" w:hAnsi="Arial" w:cs="Arial"/>
        </w:rPr>
      </w:pPr>
      <w:r w:rsidRPr="00787E64">
        <w:rPr>
          <w:rFonts w:ascii="Arial" w:hAnsi="Arial" w:cs="Arial"/>
        </w:rPr>
        <w:t>In the majority of cases, the Public Health Trainee will be none-clinical and be attached to the Training practice of the ST2 GP Registrar who, in turn, will be allocated to a Public Health department.  The objectives for each learner are mapped to their specialty curricula (Appendix 1 and 2)</w:t>
      </w:r>
    </w:p>
    <w:p w:rsidR="00787E64" w:rsidRDefault="00787E64" w:rsidP="00787E64">
      <w:pPr>
        <w:rPr>
          <w:rFonts w:ascii="Arial" w:hAnsi="Arial" w:cs="Arial"/>
          <w:b/>
        </w:rPr>
      </w:pPr>
    </w:p>
    <w:p w:rsidR="00787E64" w:rsidRPr="00787E64" w:rsidRDefault="00787E64" w:rsidP="00787E64">
      <w:pPr>
        <w:rPr>
          <w:rFonts w:ascii="Arial" w:hAnsi="Arial" w:cs="Arial"/>
          <w:b/>
          <w:color w:val="0091C9"/>
          <w:sz w:val="28"/>
        </w:rPr>
      </w:pPr>
      <w:r w:rsidRPr="00787E64">
        <w:rPr>
          <w:rFonts w:ascii="Arial" w:hAnsi="Arial" w:cs="Arial"/>
          <w:b/>
          <w:color w:val="0091C9"/>
          <w:sz w:val="28"/>
        </w:rPr>
        <w:t xml:space="preserve">Selection of </w:t>
      </w:r>
      <w:proofErr w:type="spellStart"/>
      <w:r w:rsidRPr="00787E64">
        <w:rPr>
          <w:rFonts w:ascii="Arial" w:hAnsi="Arial" w:cs="Arial"/>
          <w:b/>
          <w:color w:val="0091C9"/>
          <w:sz w:val="28"/>
        </w:rPr>
        <w:t>GPStRs</w:t>
      </w:r>
      <w:proofErr w:type="spellEnd"/>
      <w:r w:rsidRPr="00787E64">
        <w:rPr>
          <w:rFonts w:ascii="Arial" w:hAnsi="Arial" w:cs="Arial"/>
          <w:b/>
          <w:color w:val="0091C9"/>
          <w:sz w:val="28"/>
        </w:rPr>
        <w:t xml:space="preserve"> for Public Health Job Swap</w:t>
      </w:r>
    </w:p>
    <w:p w:rsidR="00787E64" w:rsidRDefault="00787E64" w:rsidP="00787E64">
      <w:pPr>
        <w:rPr>
          <w:rFonts w:ascii="Arial" w:hAnsi="Arial" w:cs="Arial"/>
        </w:rPr>
      </w:pPr>
    </w:p>
    <w:p w:rsidR="00787E64" w:rsidRDefault="00787E64" w:rsidP="00787E64">
      <w:pPr>
        <w:rPr>
          <w:rFonts w:ascii="Arial" w:hAnsi="Arial" w:cs="Arial"/>
        </w:rPr>
      </w:pPr>
      <w:r w:rsidRPr="00787E64">
        <w:rPr>
          <w:rFonts w:ascii="Arial" w:hAnsi="Arial" w:cs="Arial"/>
        </w:rPr>
        <w:t xml:space="preserve">All </w:t>
      </w:r>
      <w:proofErr w:type="spellStart"/>
      <w:r w:rsidRPr="00787E64">
        <w:rPr>
          <w:rFonts w:ascii="Arial" w:hAnsi="Arial" w:cs="Arial"/>
        </w:rPr>
        <w:t>GPStRs</w:t>
      </w:r>
      <w:proofErr w:type="spellEnd"/>
      <w:r w:rsidRPr="00787E64">
        <w:rPr>
          <w:rFonts w:ascii="Arial" w:hAnsi="Arial" w:cs="Arial"/>
        </w:rPr>
        <w:t xml:space="preserve"> receive Educational supervision over the 3 years from their final 12 month Trainer. These Trainers are in a unique position to identify </w:t>
      </w:r>
      <w:proofErr w:type="spellStart"/>
      <w:r w:rsidRPr="00787E64">
        <w:rPr>
          <w:rFonts w:ascii="Arial" w:hAnsi="Arial" w:cs="Arial"/>
        </w:rPr>
        <w:t>GPStRs</w:t>
      </w:r>
      <w:proofErr w:type="spellEnd"/>
      <w:r w:rsidRPr="00787E64">
        <w:rPr>
          <w:rFonts w:ascii="Arial" w:hAnsi="Arial" w:cs="Arial"/>
        </w:rPr>
        <w:t xml:space="preserve"> most likely to benefit from innovative training opportunities. </w:t>
      </w:r>
    </w:p>
    <w:p w:rsidR="00787E64" w:rsidRPr="00787E64" w:rsidRDefault="00787E64" w:rsidP="00787E64">
      <w:pPr>
        <w:rPr>
          <w:rFonts w:ascii="Arial" w:hAnsi="Arial" w:cs="Arial"/>
        </w:rPr>
      </w:pPr>
    </w:p>
    <w:p w:rsidR="00787E64" w:rsidRPr="00787E64" w:rsidRDefault="00787E64" w:rsidP="00787E64">
      <w:pPr>
        <w:rPr>
          <w:rFonts w:ascii="Arial" w:hAnsi="Arial" w:cs="Arial"/>
        </w:rPr>
      </w:pPr>
      <w:r w:rsidRPr="00787E64">
        <w:rPr>
          <w:rFonts w:ascii="Arial" w:hAnsi="Arial" w:cs="Arial"/>
        </w:rPr>
        <w:t xml:space="preserve">Nominations would be invited from Educational Supervisors for </w:t>
      </w:r>
      <w:proofErr w:type="spellStart"/>
      <w:r w:rsidRPr="00787E64">
        <w:rPr>
          <w:rFonts w:ascii="Arial" w:hAnsi="Arial" w:cs="Arial"/>
        </w:rPr>
        <w:t>GPStRs</w:t>
      </w:r>
      <w:proofErr w:type="spellEnd"/>
      <w:r w:rsidRPr="00787E64">
        <w:rPr>
          <w:rFonts w:ascii="Arial" w:hAnsi="Arial" w:cs="Arial"/>
        </w:rPr>
        <w:t xml:space="preserve"> currently in ST1 in May of each year. This would coincide with the Educational Supervision meeting when </w:t>
      </w:r>
      <w:proofErr w:type="spellStart"/>
      <w:r w:rsidRPr="00787E64">
        <w:rPr>
          <w:rFonts w:ascii="Arial" w:hAnsi="Arial" w:cs="Arial"/>
        </w:rPr>
        <w:t>GPStRs</w:t>
      </w:r>
      <w:proofErr w:type="spellEnd"/>
      <w:r w:rsidRPr="00787E64">
        <w:rPr>
          <w:rFonts w:ascii="Arial" w:hAnsi="Arial" w:cs="Arial"/>
        </w:rPr>
        <w:t xml:space="preserve"> who meet the criteria below could be asked for an expression of interest. </w:t>
      </w:r>
    </w:p>
    <w:p w:rsidR="00787E64" w:rsidRDefault="00787E64" w:rsidP="00787E64">
      <w:pPr>
        <w:rPr>
          <w:rFonts w:ascii="Arial" w:hAnsi="Arial" w:cs="Arial"/>
        </w:rPr>
      </w:pPr>
    </w:p>
    <w:p w:rsidR="00787E64" w:rsidRDefault="00787E64" w:rsidP="00787E64">
      <w:pPr>
        <w:rPr>
          <w:rFonts w:ascii="Arial" w:hAnsi="Arial" w:cs="Arial"/>
        </w:rPr>
      </w:pPr>
      <w:r w:rsidRPr="00787E64">
        <w:rPr>
          <w:rFonts w:ascii="Arial" w:hAnsi="Arial" w:cs="Arial"/>
        </w:rPr>
        <w:t>The GP Training practices for ST2 would need to agree to the swap and engage with the Public Health Trainee on how to best use their period of practice attachment e.g. audits/</w:t>
      </w:r>
      <w:r>
        <w:rPr>
          <w:rFonts w:ascii="Arial" w:hAnsi="Arial" w:cs="Arial"/>
        </w:rPr>
        <w:t>research</w:t>
      </w:r>
      <w:r w:rsidRPr="00787E64">
        <w:rPr>
          <w:rFonts w:ascii="Arial" w:hAnsi="Arial" w:cs="Arial"/>
        </w:rPr>
        <w:t>/engagement with Clinical Commissioning Groups (CCG) etc</w:t>
      </w:r>
      <w:r>
        <w:rPr>
          <w:rFonts w:ascii="Arial" w:hAnsi="Arial" w:cs="Arial"/>
        </w:rPr>
        <w:t>.</w:t>
      </w:r>
    </w:p>
    <w:p w:rsidR="00787E64" w:rsidRPr="00787E64" w:rsidRDefault="00787E64" w:rsidP="00787E64">
      <w:pPr>
        <w:rPr>
          <w:rFonts w:ascii="Arial" w:hAnsi="Arial" w:cs="Arial"/>
        </w:rPr>
      </w:pPr>
    </w:p>
    <w:p w:rsidR="00787E64" w:rsidRPr="00787E64" w:rsidRDefault="00787E64" w:rsidP="00787E64">
      <w:pPr>
        <w:rPr>
          <w:rFonts w:ascii="Arial" w:hAnsi="Arial" w:cs="Arial"/>
          <w:b/>
          <w:color w:val="0091C9"/>
          <w:sz w:val="28"/>
          <w:szCs w:val="28"/>
        </w:rPr>
      </w:pPr>
      <w:r w:rsidRPr="00787E64">
        <w:rPr>
          <w:rFonts w:ascii="Arial" w:hAnsi="Arial" w:cs="Arial"/>
          <w:b/>
          <w:color w:val="0091C9"/>
          <w:sz w:val="28"/>
          <w:szCs w:val="28"/>
        </w:rPr>
        <w:t>Selection Criteria</w:t>
      </w:r>
    </w:p>
    <w:p w:rsidR="00787E64" w:rsidRPr="00787E64" w:rsidRDefault="00787E64" w:rsidP="00787E64">
      <w:pPr>
        <w:rPr>
          <w:rFonts w:ascii="Arial" w:hAnsi="Arial" w:cs="Arial"/>
        </w:rPr>
      </w:pPr>
    </w:p>
    <w:p w:rsidR="00787E64" w:rsidRDefault="00787E64" w:rsidP="00787E64">
      <w:pPr>
        <w:rPr>
          <w:rFonts w:ascii="Arial" w:hAnsi="Arial" w:cs="Arial"/>
          <w:b/>
        </w:rPr>
      </w:pPr>
      <w:r w:rsidRPr="00787E64">
        <w:rPr>
          <w:rFonts w:ascii="Arial" w:hAnsi="Arial" w:cs="Arial"/>
          <w:b/>
        </w:rPr>
        <w:t>Training Practices</w:t>
      </w:r>
    </w:p>
    <w:p w:rsidR="00787E64" w:rsidRPr="00787E64" w:rsidRDefault="00787E64" w:rsidP="00787E64">
      <w:pPr>
        <w:rPr>
          <w:rFonts w:ascii="Arial" w:hAnsi="Arial" w:cs="Arial"/>
          <w:b/>
        </w:rPr>
      </w:pPr>
    </w:p>
    <w:p w:rsidR="00787E64" w:rsidRPr="00787E64" w:rsidRDefault="00787E64" w:rsidP="00787E64">
      <w:pPr>
        <w:pStyle w:val="ListParagraph"/>
        <w:numPr>
          <w:ilvl w:val="0"/>
          <w:numId w:val="6"/>
        </w:numPr>
        <w:rPr>
          <w:rFonts w:ascii="Arial" w:hAnsi="Arial" w:cs="Arial"/>
        </w:rPr>
      </w:pPr>
      <w:r w:rsidRPr="00787E64">
        <w:rPr>
          <w:rFonts w:ascii="Arial" w:hAnsi="Arial" w:cs="Arial"/>
        </w:rPr>
        <w:t>The training practice at ST2 would need to agree to the swap</w:t>
      </w:r>
    </w:p>
    <w:p w:rsidR="00787E64" w:rsidRPr="00787E64" w:rsidRDefault="00787E64" w:rsidP="00787E64">
      <w:pPr>
        <w:pStyle w:val="ListParagraph"/>
        <w:numPr>
          <w:ilvl w:val="0"/>
          <w:numId w:val="6"/>
        </w:numPr>
        <w:rPr>
          <w:rFonts w:ascii="Arial" w:hAnsi="Arial" w:cs="Arial"/>
        </w:rPr>
      </w:pPr>
      <w:r w:rsidRPr="00787E64">
        <w:rPr>
          <w:rFonts w:ascii="Arial" w:hAnsi="Arial" w:cs="Arial"/>
        </w:rPr>
        <w:t xml:space="preserve">The Final Training practice at ST3 would need to be flexible and support the </w:t>
      </w:r>
      <w:proofErr w:type="spellStart"/>
      <w:r w:rsidRPr="00787E64">
        <w:rPr>
          <w:rFonts w:ascii="Arial" w:hAnsi="Arial" w:cs="Arial"/>
        </w:rPr>
        <w:t>GPStR</w:t>
      </w:r>
      <w:proofErr w:type="spellEnd"/>
      <w:r w:rsidRPr="00787E64">
        <w:rPr>
          <w:rFonts w:ascii="Arial" w:hAnsi="Arial" w:cs="Arial"/>
        </w:rPr>
        <w:t xml:space="preserve"> when time may occasionally be needed to complete projects initiated during ST2.</w:t>
      </w:r>
      <w:r w:rsidRPr="00787E64">
        <w:rPr>
          <w:rFonts w:ascii="Arial" w:hAnsi="Arial" w:cs="Arial"/>
        </w:rPr>
        <w:tab/>
      </w:r>
    </w:p>
    <w:p w:rsidR="00787E64" w:rsidRDefault="00787E64" w:rsidP="00787E64">
      <w:pPr>
        <w:rPr>
          <w:rFonts w:ascii="Arial" w:hAnsi="Arial" w:cs="Arial"/>
          <w:b/>
        </w:rPr>
      </w:pPr>
    </w:p>
    <w:p w:rsidR="00787E64" w:rsidRDefault="00787E64" w:rsidP="00787E64">
      <w:pPr>
        <w:rPr>
          <w:rFonts w:ascii="Arial" w:hAnsi="Arial" w:cs="Arial"/>
          <w:b/>
        </w:rPr>
      </w:pPr>
    </w:p>
    <w:p w:rsidR="00787E64" w:rsidRDefault="00787E64" w:rsidP="00787E64">
      <w:pPr>
        <w:rPr>
          <w:rFonts w:ascii="Arial" w:hAnsi="Arial" w:cs="Arial"/>
          <w:b/>
        </w:rPr>
      </w:pPr>
      <w:proofErr w:type="spellStart"/>
      <w:r w:rsidRPr="00787E64">
        <w:rPr>
          <w:rFonts w:ascii="Arial" w:hAnsi="Arial" w:cs="Arial"/>
          <w:b/>
        </w:rPr>
        <w:lastRenderedPageBreak/>
        <w:t>GPStRs</w:t>
      </w:r>
      <w:proofErr w:type="spellEnd"/>
      <w:r w:rsidRPr="00787E64">
        <w:rPr>
          <w:rFonts w:ascii="Arial" w:hAnsi="Arial" w:cs="Arial"/>
          <w:b/>
        </w:rPr>
        <w:t xml:space="preserve"> </w:t>
      </w:r>
    </w:p>
    <w:p w:rsidR="00787E64" w:rsidRPr="00787E64" w:rsidRDefault="00787E64" w:rsidP="00787E64">
      <w:pPr>
        <w:rPr>
          <w:rFonts w:ascii="Arial" w:hAnsi="Arial" w:cs="Arial"/>
        </w:rPr>
      </w:pPr>
    </w:p>
    <w:p w:rsidR="00787E64" w:rsidRPr="00787E64" w:rsidRDefault="00787E64" w:rsidP="00787E64">
      <w:pPr>
        <w:pStyle w:val="ListParagraph"/>
        <w:numPr>
          <w:ilvl w:val="0"/>
          <w:numId w:val="7"/>
        </w:numPr>
        <w:rPr>
          <w:rFonts w:ascii="Arial" w:hAnsi="Arial" w:cs="Arial"/>
        </w:rPr>
      </w:pPr>
      <w:r w:rsidRPr="00787E64">
        <w:rPr>
          <w:rFonts w:ascii="Arial" w:hAnsi="Arial" w:cs="Arial"/>
        </w:rPr>
        <w:t xml:space="preserve">Express a desire and motivation for public health attachment </w:t>
      </w:r>
    </w:p>
    <w:p w:rsidR="00787E64" w:rsidRPr="00787E64" w:rsidRDefault="00787E64" w:rsidP="00787E64">
      <w:pPr>
        <w:pStyle w:val="ListParagraph"/>
        <w:numPr>
          <w:ilvl w:val="0"/>
          <w:numId w:val="7"/>
        </w:numPr>
        <w:rPr>
          <w:rFonts w:ascii="Arial" w:hAnsi="Arial" w:cs="Arial"/>
        </w:rPr>
      </w:pPr>
      <w:r w:rsidRPr="00787E64">
        <w:rPr>
          <w:rFonts w:ascii="Arial" w:hAnsi="Arial" w:cs="Arial"/>
        </w:rPr>
        <w:t xml:space="preserve">There are no concerns regarding their ability to complete GP Training for whatever reason </w:t>
      </w:r>
    </w:p>
    <w:p w:rsidR="00787E64" w:rsidRPr="00787E64" w:rsidRDefault="00787E64" w:rsidP="00787E64">
      <w:pPr>
        <w:pStyle w:val="ListParagraph"/>
        <w:numPr>
          <w:ilvl w:val="0"/>
          <w:numId w:val="7"/>
        </w:numPr>
        <w:rPr>
          <w:rFonts w:ascii="Arial" w:hAnsi="Arial" w:cs="Arial"/>
        </w:rPr>
      </w:pPr>
      <w:r w:rsidRPr="00787E64">
        <w:rPr>
          <w:rFonts w:ascii="Arial" w:hAnsi="Arial" w:cs="Arial"/>
        </w:rPr>
        <w:t>E-portfolio demonstrates ‘adult’ learning  attitudes and is self-motivated</w:t>
      </w:r>
    </w:p>
    <w:p w:rsidR="00787E64" w:rsidRPr="00787E64" w:rsidRDefault="00787E64" w:rsidP="00787E64">
      <w:pPr>
        <w:pStyle w:val="ListParagraph"/>
        <w:numPr>
          <w:ilvl w:val="0"/>
          <w:numId w:val="7"/>
        </w:numPr>
        <w:rPr>
          <w:rFonts w:ascii="Arial" w:hAnsi="Arial" w:cs="Arial"/>
        </w:rPr>
      </w:pPr>
      <w:r w:rsidRPr="00787E64">
        <w:rPr>
          <w:rFonts w:ascii="Arial" w:hAnsi="Arial" w:cs="Arial"/>
        </w:rPr>
        <w:t>Understanding that the commitment may continue for the duration of the Training</w:t>
      </w:r>
    </w:p>
    <w:p w:rsidR="00787E64" w:rsidRPr="00787E64" w:rsidRDefault="00787E64" w:rsidP="00787E64">
      <w:pPr>
        <w:pStyle w:val="ListParagraph"/>
        <w:numPr>
          <w:ilvl w:val="0"/>
          <w:numId w:val="7"/>
        </w:numPr>
        <w:rPr>
          <w:rFonts w:ascii="Arial" w:hAnsi="Arial" w:cs="Arial"/>
        </w:rPr>
      </w:pPr>
      <w:r w:rsidRPr="00787E64">
        <w:rPr>
          <w:rFonts w:ascii="Arial" w:hAnsi="Arial" w:cs="Arial"/>
        </w:rPr>
        <w:t>Consistently achieves high ratings in clinical supervision and assessments as recorded in their e-portfolios</w:t>
      </w:r>
    </w:p>
    <w:p w:rsidR="00787E64" w:rsidRDefault="00787E64" w:rsidP="00787E64">
      <w:pPr>
        <w:pStyle w:val="ListParagraph"/>
        <w:numPr>
          <w:ilvl w:val="0"/>
          <w:numId w:val="7"/>
        </w:numPr>
        <w:rPr>
          <w:rFonts w:ascii="Arial" w:hAnsi="Arial" w:cs="Arial"/>
        </w:rPr>
      </w:pPr>
      <w:r w:rsidRPr="00787E64">
        <w:rPr>
          <w:rFonts w:ascii="Arial" w:hAnsi="Arial" w:cs="Arial"/>
        </w:rPr>
        <w:t xml:space="preserve">Good academic background </w:t>
      </w:r>
    </w:p>
    <w:p w:rsidR="00787E64" w:rsidRPr="00787E64" w:rsidRDefault="00787E64" w:rsidP="00787E64">
      <w:pPr>
        <w:rPr>
          <w:rFonts w:ascii="Arial" w:hAnsi="Arial" w:cs="Arial"/>
        </w:rPr>
      </w:pPr>
    </w:p>
    <w:p w:rsidR="00787E64" w:rsidRDefault="00787E64" w:rsidP="00787E64">
      <w:pPr>
        <w:rPr>
          <w:rFonts w:ascii="Arial" w:hAnsi="Arial" w:cs="Arial"/>
          <w:b/>
        </w:rPr>
      </w:pPr>
      <w:r w:rsidRPr="00787E64">
        <w:rPr>
          <w:rFonts w:ascii="Arial" w:hAnsi="Arial" w:cs="Arial"/>
          <w:b/>
        </w:rPr>
        <w:t>ST2:</w:t>
      </w:r>
    </w:p>
    <w:p w:rsidR="00787E64" w:rsidRPr="00787E64" w:rsidRDefault="00787E64" w:rsidP="00787E64">
      <w:pPr>
        <w:rPr>
          <w:rFonts w:ascii="Arial" w:hAnsi="Arial" w:cs="Arial"/>
          <w:b/>
        </w:rPr>
      </w:pPr>
    </w:p>
    <w:p w:rsidR="00787E64" w:rsidRPr="00787E64" w:rsidRDefault="00787E64" w:rsidP="00787E64">
      <w:pPr>
        <w:pStyle w:val="ListParagraph"/>
        <w:numPr>
          <w:ilvl w:val="0"/>
          <w:numId w:val="8"/>
        </w:numPr>
        <w:rPr>
          <w:rFonts w:ascii="Arial" w:hAnsi="Arial" w:cs="Arial"/>
        </w:rPr>
      </w:pPr>
      <w:r w:rsidRPr="00787E64">
        <w:rPr>
          <w:rFonts w:ascii="Arial" w:hAnsi="Arial" w:cs="Arial"/>
        </w:rPr>
        <w:t xml:space="preserve">Out of 10 sessions in a week the </w:t>
      </w:r>
      <w:proofErr w:type="spellStart"/>
      <w:r w:rsidRPr="00787E64">
        <w:rPr>
          <w:rFonts w:ascii="Arial" w:hAnsi="Arial" w:cs="Arial"/>
        </w:rPr>
        <w:t>GPStR</w:t>
      </w:r>
      <w:proofErr w:type="spellEnd"/>
      <w:r w:rsidRPr="00787E64">
        <w:rPr>
          <w:rFonts w:ascii="Arial" w:hAnsi="Arial" w:cs="Arial"/>
        </w:rPr>
        <w:t xml:space="preserve"> would normally work </w:t>
      </w:r>
      <w:r w:rsidRPr="00787E64">
        <w:rPr>
          <w:rFonts w:ascii="Arial" w:hAnsi="Arial" w:cs="Arial"/>
        </w:rPr>
        <w:t xml:space="preserve">seven </w:t>
      </w:r>
      <w:r w:rsidRPr="00787E64">
        <w:rPr>
          <w:rFonts w:ascii="Arial" w:hAnsi="Arial" w:cs="Arial"/>
        </w:rPr>
        <w:t xml:space="preserve">clinical sessions and </w:t>
      </w:r>
      <w:r w:rsidRPr="00787E64">
        <w:rPr>
          <w:rFonts w:ascii="Arial" w:hAnsi="Arial" w:cs="Arial"/>
        </w:rPr>
        <w:t xml:space="preserve">three </w:t>
      </w:r>
      <w:r w:rsidRPr="00787E64">
        <w:rPr>
          <w:rFonts w:ascii="Arial" w:hAnsi="Arial" w:cs="Arial"/>
        </w:rPr>
        <w:t>Educational (</w:t>
      </w:r>
      <w:r w:rsidRPr="00787E64">
        <w:rPr>
          <w:rFonts w:ascii="Arial" w:hAnsi="Arial" w:cs="Arial"/>
        </w:rPr>
        <w:t xml:space="preserve">one </w:t>
      </w:r>
      <w:r w:rsidRPr="00787E64">
        <w:rPr>
          <w:rFonts w:ascii="Arial" w:hAnsi="Arial" w:cs="Arial"/>
        </w:rPr>
        <w:t xml:space="preserve">for debriefings/in house tutorials, </w:t>
      </w:r>
      <w:proofErr w:type="gramStart"/>
      <w:r w:rsidRPr="00787E64">
        <w:rPr>
          <w:rFonts w:ascii="Arial" w:hAnsi="Arial" w:cs="Arial"/>
        </w:rPr>
        <w:t>one</w:t>
      </w:r>
      <w:r w:rsidRPr="00787E64">
        <w:rPr>
          <w:rFonts w:ascii="Arial" w:hAnsi="Arial" w:cs="Arial"/>
        </w:rPr>
        <w:t xml:space="preserve"> personal learning</w:t>
      </w:r>
      <w:proofErr w:type="gramEnd"/>
      <w:r w:rsidRPr="00787E64">
        <w:rPr>
          <w:rFonts w:ascii="Arial" w:hAnsi="Arial" w:cs="Arial"/>
        </w:rPr>
        <w:t xml:space="preserve"> and development and </w:t>
      </w:r>
      <w:r w:rsidRPr="00787E64">
        <w:rPr>
          <w:rFonts w:ascii="Arial" w:hAnsi="Arial" w:cs="Arial"/>
        </w:rPr>
        <w:t>one</w:t>
      </w:r>
      <w:r w:rsidRPr="00787E64">
        <w:rPr>
          <w:rFonts w:ascii="Arial" w:hAnsi="Arial" w:cs="Arial"/>
        </w:rPr>
        <w:t xml:space="preserve"> attendance an educational day release (EDR).  The time would have to be divided 50:50 between Publ</w:t>
      </w:r>
      <w:r w:rsidRPr="00787E64">
        <w:rPr>
          <w:rFonts w:ascii="Arial" w:hAnsi="Arial" w:cs="Arial"/>
        </w:rPr>
        <w:t xml:space="preserve">ic Health and the GP practice. </w:t>
      </w:r>
      <w:r w:rsidRPr="00787E64">
        <w:rPr>
          <w:rFonts w:ascii="Arial" w:hAnsi="Arial" w:cs="Arial"/>
        </w:rPr>
        <w:t>Flexibility in planning will need to be exercised by all</w:t>
      </w:r>
    </w:p>
    <w:p w:rsidR="00787E64" w:rsidRPr="00787E64" w:rsidRDefault="00787E64" w:rsidP="00787E64">
      <w:pPr>
        <w:pStyle w:val="ListParagraph"/>
        <w:numPr>
          <w:ilvl w:val="0"/>
          <w:numId w:val="8"/>
        </w:numPr>
        <w:rPr>
          <w:rFonts w:ascii="Arial" w:hAnsi="Arial" w:cs="Arial"/>
        </w:rPr>
      </w:pPr>
      <w:r w:rsidRPr="00787E64">
        <w:rPr>
          <w:rFonts w:ascii="Arial" w:hAnsi="Arial" w:cs="Arial"/>
        </w:rPr>
        <w:t>Where there are conflicts</w:t>
      </w:r>
      <w:r w:rsidRPr="00787E64">
        <w:rPr>
          <w:rFonts w:ascii="Arial" w:hAnsi="Arial" w:cs="Arial"/>
        </w:rPr>
        <w:t xml:space="preserve">, for example </w:t>
      </w:r>
      <w:r w:rsidRPr="00787E64">
        <w:rPr>
          <w:rFonts w:ascii="Arial" w:hAnsi="Arial" w:cs="Arial"/>
        </w:rPr>
        <w:t xml:space="preserve">with the (EDR), the working pattern of the public health posting should take priority to ensure a valid experience. </w:t>
      </w:r>
    </w:p>
    <w:p w:rsidR="00787E64" w:rsidRPr="00787E64" w:rsidRDefault="00787E64" w:rsidP="00787E64">
      <w:pPr>
        <w:pStyle w:val="ListParagraph"/>
        <w:numPr>
          <w:ilvl w:val="0"/>
          <w:numId w:val="8"/>
        </w:numPr>
        <w:rPr>
          <w:rFonts w:ascii="Arial" w:hAnsi="Arial" w:cs="Arial"/>
        </w:rPr>
      </w:pPr>
      <w:r w:rsidRPr="00787E64">
        <w:rPr>
          <w:rFonts w:ascii="Arial" w:hAnsi="Arial" w:cs="Arial"/>
        </w:rPr>
        <w:t xml:space="preserve">Clinical Supervision in the ST2 GP attachment will be shared between the Trainer in the practice and the Public Health Clinical Supervisor. </w:t>
      </w:r>
    </w:p>
    <w:p w:rsidR="00787E64" w:rsidRDefault="00787E64" w:rsidP="00787E64">
      <w:pPr>
        <w:rPr>
          <w:rFonts w:ascii="Arial" w:hAnsi="Arial" w:cs="Arial"/>
        </w:rPr>
      </w:pPr>
      <w:r w:rsidRPr="00787E64">
        <w:rPr>
          <w:rFonts w:ascii="Arial" w:hAnsi="Arial" w:cs="Arial"/>
          <w:b/>
        </w:rPr>
        <w:t>At ST3 and above</w:t>
      </w:r>
      <w:r w:rsidRPr="00787E64">
        <w:rPr>
          <w:rFonts w:ascii="Arial" w:hAnsi="Arial" w:cs="Arial"/>
        </w:rPr>
        <w:t xml:space="preserve">: </w:t>
      </w:r>
    </w:p>
    <w:p w:rsidR="00787E64" w:rsidRPr="00787E64" w:rsidRDefault="00787E64" w:rsidP="00787E64">
      <w:pPr>
        <w:rPr>
          <w:rFonts w:ascii="Arial" w:hAnsi="Arial" w:cs="Arial"/>
        </w:rPr>
      </w:pPr>
      <w:r w:rsidRPr="00787E64">
        <w:rPr>
          <w:rFonts w:ascii="Arial" w:hAnsi="Arial" w:cs="Arial"/>
        </w:rPr>
        <w:tab/>
        <w:t xml:space="preserve"> </w:t>
      </w:r>
    </w:p>
    <w:p w:rsidR="00787E64" w:rsidRPr="00787E64" w:rsidRDefault="00787E64" w:rsidP="00787E64">
      <w:pPr>
        <w:pStyle w:val="ListParagraph"/>
        <w:numPr>
          <w:ilvl w:val="0"/>
          <w:numId w:val="9"/>
        </w:numPr>
        <w:rPr>
          <w:rFonts w:ascii="Arial" w:hAnsi="Arial" w:cs="Arial"/>
        </w:rPr>
      </w:pPr>
      <w:r w:rsidRPr="00787E64">
        <w:rPr>
          <w:rFonts w:ascii="Arial" w:hAnsi="Arial" w:cs="Arial"/>
        </w:rPr>
        <w:t xml:space="preserve">On a few occasions the practice may need to give special dispensation to enable completion of projects when the </w:t>
      </w:r>
      <w:proofErr w:type="spellStart"/>
      <w:r w:rsidRPr="00787E64">
        <w:rPr>
          <w:rFonts w:ascii="Arial" w:hAnsi="Arial" w:cs="Arial"/>
        </w:rPr>
        <w:t>GPStR</w:t>
      </w:r>
      <w:proofErr w:type="spellEnd"/>
      <w:r w:rsidRPr="00787E64">
        <w:rPr>
          <w:rFonts w:ascii="Arial" w:hAnsi="Arial" w:cs="Arial"/>
        </w:rPr>
        <w:t xml:space="preserve"> moves to their final GP Attachment</w:t>
      </w:r>
    </w:p>
    <w:p w:rsidR="00787E64" w:rsidRPr="00787E64" w:rsidRDefault="00787E64" w:rsidP="00787E64">
      <w:pPr>
        <w:pStyle w:val="ListParagraph"/>
        <w:jc w:val="center"/>
        <w:rPr>
          <w:rFonts w:ascii="Arial" w:hAnsi="Arial" w:cs="Arial"/>
        </w:rPr>
      </w:pPr>
      <w:r w:rsidRPr="00787E64">
        <w:rPr>
          <w:rFonts w:ascii="Arial" w:hAnsi="Arial" w:cs="Arial"/>
        </w:rPr>
        <w:br w:type="page"/>
      </w:r>
    </w:p>
    <w:p w:rsidR="00787E64" w:rsidRPr="00787E64" w:rsidRDefault="00787E64" w:rsidP="00787E64">
      <w:pPr>
        <w:rPr>
          <w:rFonts w:ascii="Arial" w:hAnsi="Arial" w:cs="Arial"/>
          <w:b/>
        </w:rPr>
      </w:pPr>
      <w:r w:rsidRPr="00787E64">
        <w:rPr>
          <w:rFonts w:ascii="Arial" w:hAnsi="Arial" w:cs="Arial"/>
          <w:b/>
        </w:rPr>
        <w:lastRenderedPageBreak/>
        <w:t>Appendix 1</w:t>
      </w:r>
    </w:p>
    <w:p w:rsidR="00787E64" w:rsidRDefault="00787E64" w:rsidP="00787E64">
      <w:pPr>
        <w:pStyle w:val="ListParagraph"/>
        <w:ind w:left="0"/>
        <w:rPr>
          <w:rFonts w:ascii="Arial" w:hAnsi="Arial" w:cs="Arial"/>
          <w:b/>
        </w:rPr>
      </w:pPr>
    </w:p>
    <w:p w:rsidR="00787E64" w:rsidRPr="00787E64" w:rsidRDefault="00787E64" w:rsidP="00787E64">
      <w:pPr>
        <w:pStyle w:val="ListParagraph"/>
        <w:ind w:left="0"/>
        <w:rPr>
          <w:rFonts w:ascii="Arial" w:hAnsi="Arial" w:cs="Arial"/>
          <w:b/>
        </w:rPr>
      </w:pPr>
      <w:r w:rsidRPr="00787E64">
        <w:rPr>
          <w:rFonts w:ascii="Arial" w:hAnsi="Arial" w:cs="Arial"/>
          <w:b/>
        </w:rPr>
        <w:t xml:space="preserve">GP Registrars in Public Health:  Learning Outcomes mapped to the GP Curriculum </w:t>
      </w:r>
    </w:p>
    <w:p w:rsidR="00787E64" w:rsidRPr="00787E64" w:rsidRDefault="00787E64" w:rsidP="00787E64">
      <w:pPr>
        <w:pStyle w:val="ListParagraph"/>
        <w:ind w:left="0"/>
        <w:rPr>
          <w:rFonts w:ascii="Arial" w:hAnsi="Arial" w:cs="Arial"/>
          <w:b/>
        </w:rPr>
      </w:pPr>
    </w:p>
    <w:p w:rsidR="00787E64" w:rsidRPr="00787E64" w:rsidRDefault="00787E64" w:rsidP="00787E64">
      <w:pPr>
        <w:numPr>
          <w:ilvl w:val="0"/>
          <w:numId w:val="5"/>
        </w:numPr>
        <w:jc w:val="both"/>
        <w:rPr>
          <w:rFonts w:ascii="Arial" w:hAnsi="Arial" w:cs="Arial"/>
          <w:b/>
        </w:rPr>
      </w:pPr>
      <w:r w:rsidRPr="00787E64">
        <w:rPr>
          <w:rFonts w:ascii="Arial" w:hAnsi="Arial" w:cs="Arial"/>
          <w:b/>
        </w:rPr>
        <w:t>The GP consultation in practice</w:t>
      </w:r>
    </w:p>
    <w:p w:rsidR="00787E64" w:rsidRPr="00787E64" w:rsidRDefault="00787E64" w:rsidP="00787E64">
      <w:pPr>
        <w:numPr>
          <w:ilvl w:val="1"/>
          <w:numId w:val="5"/>
        </w:numPr>
        <w:jc w:val="both"/>
        <w:rPr>
          <w:rFonts w:ascii="Arial" w:hAnsi="Arial" w:cs="Arial"/>
        </w:rPr>
      </w:pPr>
      <w:r w:rsidRPr="00787E64">
        <w:rPr>
          <w:rFonts w:ascii="Arial" w:hAnsi="Arial" w:cs="Arial"/>
        </w:rPr>
        <w:t>Learning about the physical environment of your practice population, understanding the interrelationship between health and social care, and the tensions that lie between individual patients and the wider needs of the community.</w:t>
      </w:r>
    </w:p>
    <w:p w:rsidR="00787E64" w:rsidRPr="00787E64" w:rsidRDefault="00787E64" w:rsidP="00787E64">
      <w:pPr>
        <w:numPr>
          <w:ilvl w:val="1"/>
          <w:numId w:val="5"/>
        </w:numPr>
        <w:jc w:val="both"/>
        <w:rPr>
          <w:rFonts w:ascii="Arial" w:hAnsi="Arial" w:cs="Arial"/>
        </w:rPr>
      </w:pPr>
      <w:r w:rsidRPr="00787E64">
        <w:rPr>
          <w:rFonts w:ascii="Arial" w:hAnsi="Arial" w:cs="Arial"/>
        </w:rPr>
        <w:t>Managing conflicts between personal health needs, evidence based practise and public health responsibilities.</w:t>
      </w:r>
    </w:p>
    <w:p w:rsidR="00787E64" w:rsidRPr="00787E64" w:rsidRDefault="00787E64" w:rsidP="00787E64">
      <w:pPr>
        <w:ind w:left="1080"/>
        <w:jc w:val="both"/>
        <w:rPr>
          <w:rFonts w:ascii="Arial" w:hAnsi="Arial" w:cs="Arial"/>
        </w:rPr>
      </w:pPr>
    </w:p>
    <w:p w:rsidR="00787E64" w:rsidRPr="00787E64" w:rsidRDefault="00787E64" w:rsidP="00787E64">
      <w:pPr>
        <w:numPr>
          <w:ilvl w:val="0"/>
          <w:numId w:val="5"/>
        </w:numPr>
        <w:jc w:val="both"/>
        <w:rPr>
          <w:rFonts w:ascii="Arial" w:hAnsi="Arial" w:cs="Arial"/>
          <w:b/>
        </w:rPr>
      </w:pPr>
      <w:r w:rsidRPr="00787E64">
        <w:rPr>
          <w:rFonts w:ascii="Arial" w:hAnsi="Arial" w:cs="Arial"/>
          <w:b/>
        </w:rPr>
        <w:t>The GP in the wider Professional Environment</w:t>
      </w:r>
    </w:p>
    <w:p w:rsidR="00787E64" w:rsidRPr="00787E64" w:rsidRDefault="00787E64" w:rsidP="00787E64">
      <w:pPr>
        <w:numPr>
          <w:ilvl w:val="1"/>
          <w:numId w:val="5"/>
        </w:numPr>
        <w:jc w:val="both"/>
        <w:rPr>
          <w:rFonts w:ascii="Arial" w:hAnsi="Arial" w:cs="Arial"/>
        </w:rPr>
      </w:pPr>
      <w:r w:rsidRPr="00787E64">
        <w:rPr>
          <w:rFonts w:ascii="Arial" w:hAnsi="Arial" w:cs="Arial"/>
        </w:rPr>
        <w:t>To understand the wider health economy</w:t>
      </w:r>
    </w:p>
    <w:p w:rsidR="00787E64" w:rsidRPr="00787E64" w:rsidRDefault="00787E64" w:rsidP="00787E64">
      <w:pPr>
        <w:numPr>
          <w:ilvl w:val="1"/>
          <w:numId w:val="5"/>
        </w:numPr>
        <w:jc w:val="both"/>
        <w:rPr>
          <w:rFonts w:ascii="Arial" w:hAnsi="Arial" w:cs="Arial"/>
        </w:rPr>
      </w:pPr>
      <w:r w:rsidRPr="00787E64">
        <w:rPr>
          <w:rFonts w:ascii="Arial" w:hAnsi="Arial" w:cs="Arial"/>
        </w:rPr>
        <w:t>To understand the structure of the local healthcare system and its economic limitations</w:t>
      </w:r>
    </w:p>
    <w:p w:rsidR="00787E64" w:rsidRPr="00787E64" w:rsidRDefault="00787E64" w:rsidP="00787E64">
      <w:pPr>
        <w:numPr>
          <w:ilvl w:val="1"/>
          <w:numId w:val="5"/>
        </w:numPr>
        <w:jc w:val="both"/>
        <w:rPr>
          <w:rFonts w:ascii="Arial" w:hAnsi="Arial" w:cs="Arial"/>
        </w:rPr>
      </w:pPr>
      <w:r w:rsidRPr="00787E64">
        <w:rPr>
          <w:rFonts w:ascii="Arial" w:hAnsi="Arial" w:cs="Arial"/>
        </w:rPr>
        <w:t>The variety of ways health care and health promotion can be delivered in the community</w:t>
      </w:r>
    </w:p>
    <w:p w:rsidR="00787E64" w:rsidRPr="00787E64" w:rsidRDefault="00787E64" w:rsidP="00787E64">
      <w:pPr>
        <w:numPr>
          <w:ilvl w:val="1"/>
          <w:numId w:val="5"/>
        </w:numPr>
        <w:jc w:val="both"/>
        <w:rPr>
          <w:rFonts w:ascii="Arial" w:hAnsi="Arial" w:cs="Arial"/>
        </w:rPr>
      </w:pPr>
      <w:r w:rsidRPr="00787E64">
        <w:rPr>
          <w:rFonts w:ascii="Arial" w:hAnsi="Arial" w:cs="Arial"/>
        </w:rPr>
        <w:t>The contribution of the private and third sector in healthcare  delivery</w:t>
      </w:r>
    </w:p>
    <w:p w:rsidR="00787E64" w:rsidRPr="00787E64" w:rsidRDefault="00787E64" w:rsidP="00787E64">
      <w:pPr>
        <w:numPr>
          <w:ilvl w:val="1"/>
          <w:numId w:val="5"/>
        </w:numPr>
        <w:jc w:val="both"/>
        <w:rPr>
          <w:rFonts w:ascii="Arial" w:hAnsi="Arial" w:cs="Arial"/>
        </w:rPr>
      </w:pPr>
      <w:r w:rsidRPr="00787E64">
        <w:rPr>
          <w:rFonts w:ascii="Arial" w:hAnsi="Arial" w:cs="Arial"/>
        </w:rPr>
        <w:t>The importance of involving public and communities in managing health services</w:t>
      </w:r>
    </w:p>
    <w:p w:rsidR="00787E64" w:rsidRPr="00787E64" w:rsidRDefault="00787E64" w:rsidP="00787E64">
      <w:pPr>
        <w:numPr>
          <w:ilvl w:val="1"/>
          <w:numId w:val="5"/>
        </w:numPr>
        <w:jc w:val="both"/>
        <w:rPr>
          <w:rFonts w:ascii="Arial" w:hAnsi="Arial" w:cs="Arial"/>
        </w:rPr>
      </w:pPr>
      <w:r w:rsidRPr="00787E64">
        <w:rPr>
          <w:rFonts w:ascii="Arial" w:hAnsi="Arial" w:cs="Arial"/>
        </w:rPr>
        <w:t xml:space="preserve">To understand the health needs of individual patients </w:t>
      </w:r>
    </w:p>
    <w:p w:rsidR="00787E64" w:rsidRPr="00787E64" w:rsidRDefault="00787E64" w:rsidP="00787E64">
      <w:pPr>
        <w:numPr>
          <w:ilvl w:val="1"/>
          <w:numId w:val="5"/>
        </w:numPr>
        <w:jc w:val="both"/>
        <w:rPr>
          <w:rFonts w:ascii="Arial" w:hAnsi="Arial" w:cs="Arial"/>
        </w:rPr>
      </w:pPr>
      <w:r w:rsidRPr="00787E64">
        <w:rPr>
          <w:rFonts w:ascii="Arial" w:hAnsi="Arial" w:cs="Arial"/>
        </w:rPr>
        <w:t>To understand the change across a system of healthcare</w:t>
      </w:r>
    </w:p>
    <w:p w:rsidR="00787E64" w:rsidRPr="00787E64" w:rsidRDefault="00787E64" w:rsidP="00787E64">
      <w:pPr>
        <w:numPr>
          <w:ilvl w:val="1"/>
          <w:numId w:val="5"/>
        </w:numPr>
        <w:jc w:val="both"/>
        <w:rPr>
          <w:rFonts w:ascii="Arial" w:hAnsi="Arial" w:cs="Arial"/>
        </w:rPr>
      </w:pPr>
      <w:r w:rsidRPr="00787E64">
        <w:rPr>
          <w:rFonts w:ascii="Arial" w:hAnsi="Arial" w:cs="Arial"/>
        </w:rPr>
        <w:t>To understand the role of the GP in the commissioning of care</w:t>
      </w:r>
    </w:p>
    <w:p w:rsidR="00787E64" w:rsidRPr="00787E64" w:rsidRDefault="00787E64" w:rsidP="00787E64">
      <w:pPr>
        <w:numPr>
          <w:ilvl w:val="1"/>
          <w:numId w:val="5"/>
        </w:numPr>
        <w:jc w:val="both"/>
        <w:rPr>
          <w:rFonts w:ascii="Arial" w:hAnsi="Arial" w:cs="Arial"/>
        </w:rPr>
      </w:pPr>
      <w:r w:rsidRPr="00787E64">
        <w:rPr>
          <w:rFonts w:ascii="Arial" w:hAnsi="Arial" w:cs="Arial"/>
        </w:rPr>
        <w:t>Working with professionals and organisations to improve population health outcomes</w:t>
      </w:r>
    </w:p>
    <w:p w:rsidR="00787E64" w:rsidRPr="00787E64" w:rsidRDefault="00787E64" w:rsidP="00787E64">
      <w:pPr>
        <w:numPr>
          <w:ilvl w:val="1"/>
          <w:numId w:val="5"/>
        </w:numPr>
        <w:jc w:val="both"/>
        <w:rPr>
          <w:rFonts w:ascii="Arial" w:hAnsi="Arial" w:cs="Arial"/>
        </w:rPr>
      </w:pPr>
      <w:r w:rsidRPr="00787E64">
        <w:rPr>
          <w:rFonts w:ascii="Arial" w:hAnsi="Arial" w:cs="Arial"/>
        </w:rPr>
        <w:t>Health impacts of climate change and its relationship with health inequalities</w:t>
      </w:r>
    </w:p>
    <w:p w:rsidR="00787E64" w:rsidRPr="00787E64" w:rsidRDefault="00787E64" w:rsidP="00787E64">
      <w:pPr>
        <w:numPr>
          <w:ilvl w:val="1"/>
          <w:numId w:val="5"/>
        </w:numPr>
        <w:jc w:val="both"/>
        <w:rPr>
          <w:rFonts w:ascii="Arial" w:hAnsi="Arial" w:cs="Arial"/>
        </w:rPr>
      </w:pPr>
      <w:r w:rsidRPr="00787E64">
        <w:rPr>
          <w:rFonts w:ascii="Arial" w:hAnsi="Arial" w:cs="Arial"/>
        </w:rPr>
        <w:t>Service management and service improvement in the local health community</w:t>
      </w:r>
    </w:p>
    <w:p w:rsidR="00787E64" w:rsidRPr="00787E64" w:rsidRDefault="00787E64" w:rsidP="00787E64">
      <w:pPr>
        <w:jc w:val="both"/>
        <w:rPr>
          <w:rFonts w:ascii="Arial" w:hAnsi="Arial" w:cs="Arial"/>
        </w:rPr>
      </w:pPr>
    </w:p>
    <w:p w:rsidR="00787E64" w:rsidRPr="00787E64" w:rsidRDefault="00787E64" w:rsidP="00787E64">
      <w:pPr>
        <w:numPr>
          <w:ilvl w:val="0"/>
          <w:numId w:val="5"/>
        </w:numPr>
        <w:jc w:val="both"/>
        <w:rPr>
          <w:rFonts w:ascii="Arial" w:hAnsi="Arial" w:cs="Arial"/>
          <w:b/>
        </w:rPr>
      </w:pPr>
      <w:r w:rsidRPr="00787E64">
        <w:rPr>
          <w:rFonts w:ascii="Arial" w:hAnsi="Arial" w:cs="Arial"/>
          <w:b/>
        </w:rPr>
        <w:t xml:space="preserve">Enhancing professional knowledge </w:t>
      </w:r>
    </w:p>
    <w:p w:rsidR="00787E64" w:rsidRPr="00787E64" w:rsidRDefault="00787E64" w:rsidP="00787E64">
      <w:pPr>
        <w:numPr>
          <w:ilvl w:val="1"/>
          <w:numId w:val="5"/>
        </w:numPr>
        <w:jc w:val="both"/>
        <w:rPr>
          <w:rFonts w:ascii="Arial" w:hAnsi="Arial" w:cs="Arial"/>
        </w:rPr>
      </w:pPr>
      <w:r w:rsidRPr="00787E64">
        <w:rPr>
          <w:rFonts w:ascii="Arial" w:hAnsi="Arial" w:cs="Arial"/>
        </w:rPr>
        <w:t xml:space="preserve">Understanding the health inequalities of healthcare delivery. </w:t>
      </w:r>
    </w:p>
    <w:p w:rsidR="00787E64" w:rsidRPr="00787E64" w:rsidRDefault="00787E64" w:rsidP="00787E64">
      <w:pPr>
        <w:numPr>
          <w:ilvl w:val="1"/>
          <w:numId w:val="5"/>
        </w:numPr>
        <w:jc w:val="both"/>
        <w:rPr>
          <w:rFonts w:ascii="Arial" w:hAnsi="Arial" w:cs="Arial"/>
        </w:rPr>
      </w:pPr>
      <w:r w:rsidRPr="00787E64">
        <w:rPr>
          <w:rFonts w:ascii="Arial" w:hAnsi="Arial" w:cs="Arial"/>
        </w:rPr>
        <w:t>Demonstrating awareness that poverty is a common cause of poor health</w:t>
      </w:r>
    </w:p>
    <w:p w:rsidR="00787E64" w:rsidRPr="00787E64" w:rsidRDefault="00787E64" w:rsidP="00787E64">
      <w:pPr>
        <w:numPr>
          <w:ilvl w:val="1"/>
          <w:numId w:val="5"/>
        </w:numPr>
        <w:jc w:val="both"/>
        <w:rPr>
          <w:rFonts w:ascii="Arial" w:hAnsi="Arial" w:cs="Arial"/>
        </w:rPr>
      </w:pPr>
      <w:r w:rsidRPr="00787E64">
        <w:rPr>
          <w:rFonts w:ascii="Arial" w:hAnsi="Arial" w:cs="Arial"/>
        </w:rPr>
        <w:t>To understand that Health economic studies and healthcare resources allocation will help to support the recommendations on which treatments are offered</w:t>
      </w:r>
    </w:p>
    <w:p w:rsidR="00787E64" w:rsidRPr="00787E64" w:rsidRDefault="00787E64" w:rsidP="00787E64">
      <w:pPr>
        <w:numPr>
          <w:ilvl w:val="1"/>
          <w:numId w:val="5"/>
        </w:numPr>
        <w:jc w:val="both"/>
        <w:rPr>
          <w:rFonts w:ascii="Arial" w:hAnsi="Arial" w:cs="Arial"/>
        </w:rPr>
      </w:pPr>
      <w:r w:rsidRPr="00787E64">
        <w:rPr>
          <w:rFonts w:ascii="Arial" w:hAnsi="Arial" w:cs="Arial"/>
        </w:rPr>
        <w:t>To recognise public health skills are needed in meeting the needs of population health as well as individual health</w:t>
      </w:r>
    </w:p>
    <w:p w:rsidR="00787E64" w:rsidRPr="00787E64" w:rsidRDefault="00787E64" w:rsidP="00787E64">
      <w:pPr>
        <w:numPr>
          <w:ilvl w:val="1"/>
          <w:numId w:val="5"/>
        </w:numPr>
        <w:jc w:val="both"/>
        <w:rPr>
          <w:rFonts w:ascii="Arial" w:hAnsi="Arial" w:cs="Arial"/>
        </w:rPr>
      </w:pPr>
      <w:r w:rsidRPr="00787E64">
        <w:rPr>
          <w:rFonts w:ascii="Arial" w:hAnsi="Arial" w:cs="Arial"/>
        </w:rPr>
        <w:t>To be seen as a leader of healthcare provision based on clinical experience</w:t>
      </w:r>
    </w:p>
    <w:p w:rsidR="00787E64" w:rsidRDefault="00787E64" w:rsidP="00787E64">
      <w:pPr>
        <w:ind w:left="1080"/>
        <w:jc w:val="both"/>
        <w:rPr>
          <w:rFonts w:ascii="Arial" w:hAnsi="Arial" w:cs="Arial"/>
        </w:rPr>
      </w:pPr>
    </w:p>
    <w:p w:rsidR="00787E64" w:rsidRPr="00787E64" w:rsidRDefault="00787E64" w:rsidP="00787E64">
      <w:pPr>
        <w:ind w:left="1080"/>
        <w:jc w:val="both"/>
        <w:rPr>
          <w:rFonts w:ascii="Arial" w:hAnsi="Arial" w:cs="Arial"/>
        </w:rPr>
      </w:pPr>
      <w:bookmarkStart w:id="0" w:name="_GoBack"/>
      <w:bookmarkEnd w:id="0"/>
    </w:p>
    <w:p w:rsidR="00787E64" w:rsidRPr="00787E64" w:rsidRDefault="00787E64" w:rsidP="00787E64">
      <w:pPr>
        <w:ind w:left="1080"/>
        <w:jc w:val="both"/>
        <w:rPr>
          <w:rFonts w:ascii="Arial" w:hAnsi="Arial" w:cs="Arial"/>
        </w:rPr>
      </w:pPr>
    </w:p>
    <w:p w:rsidR="00787E64" w:rsidRPr="00787E64" w:rsidRDefault="00787E64" w:rsidP="00787E64">
      <w:pPr>
        <w:numPr>
          <w:ilvl w:val="0"/>
          <w:numId w:val="5"/>
        </w:numPr>
        <w:jc w:val="both"/>
        <w:rPr>
          <w:rFonts w:ascii="Arial" w:hAnsi="Arial" w:cs="Arial"/>
          <w:b/>
        </w:rPr>
      </w:pPr>
      <w:r w:rsidRPr="00787E64">
        <w:rPr>
          <w:rFonts w:ascii="Arial" w:hAnsi="Arial" w:cs="Arial"/>
          <w:b/>
        </w:rPr>
        <w:lastRenderedPageBreak/>
        <w:t>Health people: promoting health and preventing disease</w:t>
      </w:r>
    </w:p>
    <w:p w:rsidR="00787E64" w:rsidRPr="00787E64" w:rsidRDefault="00787E64" w:rsidP="00787E64">
      <w:pPr>
        <w:numPr>
          <w:ilvl w:val="1"/>
          <w:numId w:val="5"/>
        </w:numPr>
        <w:jc w:val="both"/>
        <w:rPr>
          <w:rFonts w:ascii="Arial" w:hAnsi="Arial" w:cs="Arial"/>
        </w:rPr>
      </w:pPr>
      <w:r w:rsidRPr="00787E64">
        <w:rPr>
          <w:rFonts w:ascii="Arial" w:hAnsi="Arial" w:cs="Arial"/>
        </w:rPr>
        <w:t xml:space="preserve">To understand the characteristics of a community which includes socio-economic, ethnicity and health features </w:t>
      </w:r>
    </w:p>
    <w:p w:rsidR="00787E64" w:rsidRPr="00787E64" w:rsidRDefault="00787E64" w:rsidP="00787E64">
      <w:pPr>
        <w:numPr>
          <w:ilvl w:val="1"/>
          <w:numId w:val="5"/>
        </w:numPr>
        <w:jc w:val="both"/>
        <w:rPr>
          <w:rFonts w:ascii="Arial" w:hAnsi="Arial" w:cs="Arial"/>
        </w:rPr>
      </w:pPr>
      <w:r w:rsidRPr="00787E64">
        <w:rPr>
          <w:rFonts w:ascii="Arial" w:hAnsi="Arial" w:cs="Arial"/>
        </w:rPr>
        <w:t>Assessing the health needs of the local population and sub groups</w:t>
      </w:r>
    </w:p>
    <w:p w:rsidR="00787E64" w:rsidRPr="00787E64" w:rsidRDefault="00787E64" w:rsidP="00787E64">
      <w:pPr>
        <w:numPr>
          <w:ilvl w:val="1"/>
          <w:numId w:val="5"/>
        </w:numPr>
        <w:jc w:val="both"/>
        <w:rPr>
          <w:rFonts w:ascii="Arial" w:hAnsi="Arial" w:cs="Arial"/>
        </w:rPr>
      </w:pPr>
      <w:r w:rsidRPr="00787E64">
        <w:rPr>
          <w:rFonts w:ascii="Arial" w:hAnsi="Arial" w:cs="Arial"/>
        </w:rPr>
        <w:t xml:space="preserve">Engage in the implementation of locally agreed health programmes </w:t>
      </w:r>
    </w:p>
    <w:p w:rsidR="00787E64" w:rsidRPr="00787E64" w:rsidRDefault="00787E64" w:rsidP="00787E64">
      <w:pPr>
        <w:numPr>
          <w:ilvl w:val="1"/>
          <w:numId w:val="5"/>
        </w:numPr>
        <w:jc w:val="both"/>
        <w:rPr>
          <w:rFonts w:ascii="Arial" w:hAnsi="Arial" w:cs="Arial"/>
        </w:rPr>
      </w:pPr>
      <w:r w:rsidRPr="00787E64">
        <w:rPr>
          <w:rFonts w:ascii="Arial" w:hAnsi="Arial" w:cs="Arial"/>
        </w:rPr>
        <w:t xml:space="preserve">Different perspectives required in managing work and health issues. </w:t>
      </w:r>
    </w:p>
    <w:p w:rsidR="00787E64" w:rsidRPr="00787E64" w:rsidRDefault="00787E64" w:rsidP="00787E64">
      <w:pPr>
        <w:numPr>
          <w:ilvl w:val="1"/>
          <w:numId w:val="5"/>
        </w:numPr>
        <w:jc w:val="both"/>
        <w:rPr>
          <w:rFonts w:ascii="Arial" w:hAnsi="Arial" w:cs="Arial"/>
        </w:rPr>
      </w:pPr>
      <w:r w:rsidRPr="00787E64">
        <w:rPr>
          <w:rFonts w:ascii="Arial" w:hAnsi="Arial" w:cs="Arial"/>
        </w:rPr>
        <w:t>To understand the links between health and work, including positive benefits of work on well being</w:t>
      </w:r>
    </w:p>
    <w:p w:rsidR="00787E64" w:rsidRPr="00787E64" w:rsidRDefault="00787E64" w:rsidP="00787E64">
      <w:pPr>
        <w:ind w:left="1440"/>
        <w:jc w:val="both"/>
        <w:rPr>
          <w:rFonts w:ascii="Arial" w:hAnsi="Arial" w:cs="Arial"/>
        </w:rPr>
      </w:pPr>
    </w:p>
    <w:p w:rsidR="00787E64" w:rsidRPr="00787E64" w:rsidRDefault="00787E64" w:rsidP="00787E64">
      <w:pPr>
        <w:numPr>
          <w:ilvl w:val="0"/>
          <w:numId w:val="5"/>
        </w:numPr>
        <w:jc w:val="both"/>
        <w:rPr>
          <w:rFonts w:ascii="Arial" w:hAnsi="Arial" w:cs="Arial"/>
          <w:b/>
        </w:rPr>
      </w:pPr>
      <w:r w:rsidRPr="00787E64">
        <w:rPr>
          <w:rFonts w:ascii="Arial" w:hAnsi="Arial" w:cs="Arial"/>
          <w:b/>
        </w:rPr>
        <w:t>Care of people who misuse drugs and alcohol</w:t>
      </w:r>
    </w:p>
    <w:p w:rsidR="00787E64" w:rsidRPr="00787E64" w:rsidRDefault="00787E64" w:rsidP="00787E64">
      <w:pPr>
        <w:numPr>
          <w:ilvl w:val="1"/>
          <w:numId w:val="5"/>
        </w:numPr>
        <w:jc w:val="both"/>
        <w:rPr>
          <w:rFonts w:ascii="Arial" w:hAnsi="Arial" w:cs="Arial"/>
        </w:rPr>
      </w:pPr>
      <w:r w:rsidRPr="00787E64">
        <w:rPr>
          <w:rFonts w:ascii="Arial" w:hAnsi="Arial" w:cs="Arial"/>
        </w:rPr>
        <w:t>Prevention strategies for individuals and communities</w:t>
      </w:r>
    </w:p>
    <w:p w:rsidR="00787E64" w:rsidRPr="00787E64" w:rsidRDefault="00787E64" w:rsidP="00787E64">
      <w:pPr>
        <w:numPr>
          <w:ilvl w:val="1"/>
          <w:numId w:val="5"/>
        </w:numPr>
        <w:jc w:val="both"/>
        <w:rPr>
          <w:rFonts w:ascii="Arial" w:hAnsi="Arial" w:cs="Arial"/>
        </w:rPr>
      </w:pPr>
      <w:r w:rsidRPr="00787E64">
        <w:rPr>
          <w:rFonts w:ascii="Arial" w:hAnsi="Arial" w:cs="Arial"/>
        </w:rPr>
        <w:t xml:space="preserve">Perform a brief intervention </w:t>
      </w:r>
    </w:p>
    <w:p w:rsidR="00787E64" w:rsidRPr="00787E64" w:rsidRDefault="00787E64" w:rsidP="00787E64">
      <w:pPr>
        <w:numPr>
          <w:ilvl w:val="1"/>
          <w:numId w:val="5"/>
        </w:numPr>
        <w:jc w:val="both"/>
        <w:rPr>
          <w:rFonts w:ascii="Arial" w:hAnsi="Arial" w:cs="Arial"/>
        </w:rPr>
      </w:pPr>
      <w:r w:rsidRPr="00787E64">
        <w:rPr>
          <w:rFonts w:ascii="Arial" w:hAnsi="Arial" w:cs="Arial"/>
        </w:rPr>
        <w:t>To offer screening</w:t>
      </w:r>
    </w:p>
    <w:p w:rsidR="0058551E" w:rsidRDefault="0058551E" w:rsidP="0058551E">
      <w:pPr>
        <w:spacing w:line="288" w:lineRule="auto"/>
      </w:pPr>
    </w:p>
    <w:sectPr w:rsidR="0058551E" w:rsidSect="0058551E">
      <w:headerReference w:type="default" r:id="rId8"/>
      <w:footerReference w:type="default" r:id="rId9"/>
      <w:pgSz w:w="11900" w:h="16840"/>
      <w:pgMar w:top="2556" w:right="1134" w:bottom="1134" w:left="1134" w:header="992" w:footer="1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E5" w:rsidRDefault="005416E5">
      <w:r>
        <w:separator/>
      </w:r>
    </w:p>
  </w:endnote>
  <w:endnote w:type="continuationSeparator" w:id="0">
    <w:p w:rsidR="005416E5" w:rsidRDefault="0054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1E" w:rsidRPr="007B22BF" w:rsidRDefault="005416E5"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E5" w:rsidRDefault="005416E5">
      <w:r>
        <w:separator/>
      </w:r>
    </w:p>
  </w:footnote>
  <w:footnote w:type="continuationSeparator" w:id="0">
    <w:p w:rsidR="005416E5" w:rsidRDefault="0054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1E" w:rsidRDefault="005416E5">
    <w:pPr>
      <w:pStyle w:val="Header"/>
    </w:pPr>
    <w:r>
      <w:rPr>
        <w:noProof/>
        <w:lang w:eastAsia="en-GB"/>
      </w:rPr>
      <w:drawing>
        <wp:anchor distT="0" distB="0" distL="114300" distR="114300" simplePos="0" relativeHeight="251658240" behindDoc="1" locked="0" layoutInCell="1" allowOverlap="1" wp14:anchorId="6C175B25" wp14:editId="57107E9F">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C53"/>
    <w:multiLevelType w:val="hybridMultilevel"/>
    <w:tmpl w:val="AF82B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5C5187"/>
    <w:multiLevelType w:val="hybridMultilevel"/>
    <w:tmpl w:val="00088E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0E74B9"/>
    <w:multiLevelType w:val="hybridMultilevel"/>
    <w:tmpl w:val="6214FB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9713E0"/>
    <w:multiLevelType w:val="hybridMultilevel"/>
    <w:tmpl w:val="C580378C"/>
    <w:lvl w:ilvl="0" w:tplc="007CFDE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2E7CCB"/>
    <w:multiLevelType w:val="hybridMultilevel"/>
    <w:tmpl w:val="A56CB9C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8975056"/>
    <w:multiLevelType w:val="hybridMultilevel"/>
    <w:tmpl w:val="80BE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16150D"/>
    <w:multiLevelType w:val="hybridMultilevel"/>
    <w:tmpl w:val="A0882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DC6000"/>
    <w:multiLevelType w:val="hybridMultilevel"/>
    <w:tmpl w:val="78084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1EF28BB"/>
    <w:multiLevelType w:val="hybridMultilevel"/>
    <w:tmpl w:val="8864F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4"/>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940b4f,#c60f69,#a000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E5"/>
    <w:rsid w:val="005416E5"/>
    <w:rsid w:val="0058551E"/>
    <w:rsid w:val="00623D67"/>
    <w:rsid w:val="00783603"/>
    <w:rsid w:val="00787E64"/>
    <w:rsid w:val="007B22BF"/>
    <w:rsid w:val="00994FBA"/>
    <w:rsid w:val="009E77E2"/>
    <w:rsid w:val="00BA3DF0"/>
    <w:rsid w:val="00BB4E19"/>
    <w:rsid w:val="00F04E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940b4f,#c60f69,#a0005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BA3DF0"/>
    <w:rPr>
      <w:rFonts w:ascii="Tahoma" w:hAnsi="Tahoma" w:cs="Tahoma"/>
      <w:sz w:val="16"/>
      <w:szCs w:val="16"/>
    </w:rPr>
  </w:style>
  <w:style w:type="character" w:customStyle="1" w:styleId="BalloonTextChar">
    <w:name w:val="Balloon Text Char"/>
    <w:basedOn w:val="DefaultParagraphFont"/>
    <w:link w:val="BalloonText"/>
    <w:rsid w:val="00BA3DF0"/>
    <w:rPr>
      <w:rFonts w:ascii="Tahoma" w:hAnsi="Tahoma" w:cs="Tahoma"/>
      <w:spacing w:val="2"/>
      <w:sz w:val="16"/>
      <w:szCs w:val="16"/>
      <w:lang w:eastAsia="en-US"/>
    </w:rPr>
  </w:style>
  <w:style w:type="paragraph" w:styleId="ListParagraph">
    <w:name w:val="List Paragraph"/>
    <w:basedOn w:val="Normal"/>
    <w:uiPriority w:val="34"/>
    <w:qFormat/>
    <w:rsid w:val="00787E64"/>
    <w:pPr>
      <w:spacing w:after="200" w:line="276" w:lineRule="auto"/>
      <w:ind w:left="720"/>
      <w:contextualSpacing/>
    </w:pPr>
    <w:rPr>
      <w:rFonts w:ascii="Calibri" w:eastAsia="Calibri" w:hAnsi="Calibri"/>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BA3DF0"/>
    <w:rPr>
      <w:rFonts w:ascii="Tahoma" w:hAnsi="Tahoma" w:cs="Tahoma"/>
      <w:sz w:val="16"/>
      <w:szCs w:val="16"/>
    </w:rPr>
  </w:style>
  <w:style w:type="character" w:customStyle="1" w:styleId="BalloonTextChar">
    <w:name w:val="Balloon Text Char"/>
    <w:basedOn w:val="DefaultParagraphFont"/>
    <w:link w:val="BalloonText"/>
    <w:rsid w:val="00BA3DF0"/>
    <w:rPr>
      <w:rFonts w:ascii="Tahoma" w:hAnsi="Tahoma" w:cs="Tahoma"/>
      <w:spacing w:val="2"/>
      <w:sz w:val="16"/>
      <w:szCs w:val="16"/>
      <w:lang w:eastAsia="en-US"/>
    </w:rPr>
  </w:style>
  <w:style w:type="paragraph" w:styleId="ListParagraph">
    <w:name w:val="List Paragraph"/>
    <w:basedOn w:val="Normal"/>
    <w:uiPriority w:val="34"/>
    <w:qFormat/>
    <w:rsid w:val="00787E64"/>
    <w:pPr>
      <w:spacing w:after="200" w:line="276" w:lineRule="auto"/>
      <w:ind w:left="720"/>
      <w:contextualSpacing/>
    </w:pPr>
    <w:rPr>
      <w:rFonts w:ascii="Calibri" w:eastAsia="Calibri" w:hAnsi="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Trembirth</dc:creator>
  <cp:lastModifiedBy>Craig Trembirth</cp:lastModifiedBy>
  <cp:revision>2</cp:revision>
  <cp:lastPrinted>2015-11-16T16:31:00Z</cp:lastPrinted>
  <dcterms:created xsi:type="dcterms:W3CDTF">2016-04-06T14:50:00Z</dcterms:created>
  <dcterms:modified xsi:type="dcterms:W3CDTF">2016-04-06T14:50:00Z</dcterms:modified>
</cp:coreProperties>
</file>